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120"/>
        <w:jc w:val="center"/>
        <w:rPr>
          <w:rFonts w:ascii="Times New Roman" w:hAnsi="Times New Roman"/>
          <w:b/>
          <w:b/>
          <w:bCs/>
          <w:caps/>
          <w:color w:val="CE181E"/>
          <w:sz w:val="24"/>
          <w:szCs w:val="24"/>
        </w:rPr>
      </w:pPr>
      <w:bookmarkStart w:id="0" w:name="__DdeLink__145_2459670543"/>
      <w:bookmarkEnd w:id="0"/>
      <w:r>
        <w:rPr>
          <w:rFonts w:ascii="Times New Roman" w:hAnsi="Times New Roman"/>
          <w:b/>
          <w:bCs/>
          <w:caps/>
          <w:color w:val="CE181E"/>
          <w:sz w:val="24"/>
          <w:szCs w:val="24"/>
        </w:rPr>
        <w:t>ZPRACOVÁNÍ OSOBNÍCH ÚDAJŮ</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INFORMACE PRO PACIENTY O ZPRACOVÁNÍ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podle nařízení Evropského parlamentu a Rady (EU) 2016/679 ze dne 27. dubna 2016 o ochraně fyzických osob v souvislosti se zpracováním osobních údajů a o volném pohybu těchto údajů a o zrušení směrnice 95/46/ES (obecné nařízení o ochraně osobních údajů)</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1. Správce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i w:val="false"/>
          <w:caps w:val="false"/>
          <w:smallCaps w:val="false"/>
          <w:color w:val="2B2B2B"/>
          <w:spacing w:val="0"/>
          <w:sz w:val="24"/>
          <w:szCs w:val="24"/>
          <w:highlight w:val="white"/>
        </w:rPr>
        <w:t>MUDr. Ivo Procházka</w:t>
      </w:r>
      <w:r>
        <w:rPr>
          <w:rFonts w:ascii="Times New Roman" w:hAnsi="Times New Roman"/>
          <w:b/>
          <w:i w:val="false"/>
          <w:caps w:val="false"/>
          <w:smallCaps w:val="false"/>
          <w:color w:val="2B2B2B"/>
          <w:spacing w:val="0"/>
          <w:sz w:val="24"/>
          <w:szCs w:val="24"/>
          <w:highlight w:val="white"/>
        </w:rPr>
        <w:br/>
      </w:r>
      <w:r>
        <w:rPr>
          <w:rFonts w:ascii="Times New Roman" w:hAnsi="Times New Roman"/>
          <w:b w:val="false"/>
          <w:i w:val="false"/>
          <w:caps w:val="false"/>
          <w:smallCaps w:val="false"/>
          <w:color w:val="2B2B2B"/>
          <w:spacing w:val="0"/>
          <w:sz w:val="24"/>
          <w:szCs w:val="24"/>
          <w:highlight w:val="white"/>
        </w:rPr>
        <w:t xml:space="preserve">IČ: </w:t>
      </w:r>
      <w:r>
        <w:rPr>
          <w:rFonts w:ascii="Times New Roman" w:hAnsi="Times New Roman"/>
          <w:b w:val="false"/>
          <w:i w:val="false"/>
          <w:caps w:val="false"/>
          <w:smallCaps w:val="false"/>
          <w:color w:val="2B2B2B"/>
          <w:spacing w:val="0"/>
          <w:sz w:val="24"/>
          <w:szCs w:val="24"/>
          <w:highlight w:val="white"/>
        </w:rPr>
        <w:t>45473986</w:t>
      </w:r>
      <w:r>
        <w:rPr>
          <w:rFonts w:ascii="Times New Roman" w:hAnsi="Times New Roman"/>
          <w:b w:val="false"/>
          <w:i w:val="false"/>
          <w:caps w:val="false"/>
          <w:smallCaps w:val="false"/>
          <w:color w:val="2B2B2B"/>
          <w:spacing w:val="0"/>
          <w:sz w:val="24"/>
          <w:szCs w:val="24"/>
          <w:highlight w:val="white"/>
        </w:rPr>
        <w:br/>
      </w:r>
      <w:r>
        <w:rPr>
          <w:rFonts w:ascii="Times New Roman" w:hAnsi="Times New Roman"/>
          <w:b w:val="false"/>
          <w:i w:val="false"/>
          <w:caps w:val="false"/>
          <w:smallCaps w:val="false"/>
          <w:color w:val="2B2B2B"/>
          <w:spacing w:val="0"/>
          <w:sz w:val="24"/>
          <w:szCs w:val="24"/>
          <w:highlight w:val="white"/>
        </w:rPr>
        <w:t>Havlíčkovo nám. 4932</w:t>
      </w:r>
      <w:r>
        <w:rPr>
          <w:rFonts w:ascii="Times New Roman" w:hAnsi="Times New Roman"/>
          <w:b w:val="false"/>
          <w:i w:val="false"/>
          <w:caps w:val="false"/>
          <w:smallCaps w:val="false"/>
          <w:color w:val="2B2B2B"/>
          <w:spacing w:val="0"/>
          <w:sz w:val="24"/>
          <w:szCs w:val="24"/>
          <w:highlight w:val="white"/>
        </w:rPr>
        <w:br/>
      </w:r>
      <w:r>
        <w:rPr>
          <w:rFonts w:ascii="Times New Roman" w:hAnsi="Times New Roman"/>
          <w:b w:val="false"/>
          <w:i w:val="false"/>
          <w:caps w:val="false"/>
          <w:smallCaps w:val="false"/>
          <w:color w:val="2B2B2B"/>
          <w:spacing w:val="0"/>
          <w:sz w:val="24"/>
          <w:szCs w:val="24"/>
          <w:highlight w:val="white"/>
        </w:rPr>
        <w:t>679 06 Jedovnice</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Správce je poskytovatelem zdravotních služeb v souladu se zákonem č. 372/2011 Sb., o zdravotních službách a podmínkách jejich poskytování, ve znění pozdějších předpisů.</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2. Účel/y zpracování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Vaše osobní údaje zpracováváme za účelemposkytování zdravotních služeb</w:t>
      </w:r>
    </w:p>
    <w:p>
      <w:pPr>
        <w:pStyle w:val="Tlotextu"/>
        <w:widowControl/>
        <w:numPr>
          <w:ilvl w:val="0"/>
          <w:numId w:val="0"/>
        </w:numPr>
        <w:pBdr/>
        <w:spacing w:before="0" w:after="0"/>
        <w:ind w:left="30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vykazování hrazených zdravotních služeb</w:t>
      </w:r>
    </w:p>
    <w:p>
      <w:pPr>
        <w:pStyle w:val="Tlotextu"/>
        <w:widowControl/>
        <w:numPr>
          <w:ilvl w:val="0"/>
          <w:numId w:val="1"/>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vyúčtování nehrazených zdravotních služeb</w:t>
      </w:r>
    </w:p>
    <w:p>
      <w:pPr>
        <w:pStyle w:val="Tlotextu"/>
        <w:widowControl/>
        <w:numPr>
          <w:ilvl w:val="0"/>
          <w:numId w:val="1"/>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sdělování údajů o zdravotním stavu Vám a dalším oprávněným osobám</w:t>
      </w:r>
    </w:p>
    <w:p>
      <w:pPr>
        <w:pStyle w:val="Tlotextu"/>
        <w:widowControl/>
        <w:numPr>
          <w:ilvl w:val="0"/>
          <w:numId w:val="1"/>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organizace poskytování zdravotních služeb (objednávání pacientů)</w:t>
      </w:r>
    </w:p>
    <w:p>
      <w:pPr>
        <w:pStyle w:val="Tlotextu"/>
        <w:widowControl/>
        <w:numPr>
          <w:ilvl w:val="0"/>
          <w:numId w:val="1"/>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vedení evidence o našich příjmech a výdajích, přijatých platbách a o hospodaření, jak vyplývají z předpisů upravujících daně a účetnictví</w:t>
      </w:r>
    </w:p>
    <w:p>
      <w:pPr>
        <w:pStyle w:val="Tlotextu"/>
        <w:widowControl/>
        <w:numPr>
          <w:ilvl w:val="0"/>
          <w:numId w:val="0"/>
        </w:numPr>
        <w:pBdr/>
        <w:spacing w:before="0" w:after="0"/>
        <w:ind w:left="30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3. Právní základ zpracování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Právním základem pro zpracování Vašich osobních údajů uvedených v bodu II. je</w:t>
      </w:r>
    </w:p>
    <w:p>
      <w:pPr>
        <w:pStyle w:val="Tlotextu"/>
        <w:widowControl/>
        <w:numPr>
          <w:ilvl w:val="0"/>
          <w:numId w:val="2"/>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splnění naší zákonné povinnosti (zejména zákon č. 372/2011 Sb., o zdravotních službách a podmínkách jejich poskytování, zákon č. 48/1997 Sb., o veřejném zdravotním pojištění, zákon č. 563/1991 Sb., o účetnictví, zákon č. 586/1992 Sb., o daních z příjmů, zákon č. 634/1992, o ochraně spotřebitele)</w:t>
      </w:r>
    </w:p>
    <w:p>
      <w:pPr>
        <w:pStyle w:val="Tlotextu"/>
        <w:widowControl/>
        <w:numPr>
          <w:ilvl w:val="0"/>
          <w:numId w:val="2"/>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splnění závazků ze smlouvy o péči o zdraví, na jejímž základě Vám poskytujeme zdravotní služby (tato smlouva nemusí být uzavřena písemně)</w:t>
      </w:r>
    </w:p>
    <w:p>
      <w:pPr>
        <w:pStyle w:val="Tlotextu"/>
        <w:widowControl/>
        <w:numPr>
          <w:ilvl w:val="0"/>
          <w:numId w:val="0"/>
        </w:numPr>
        <w:pBdr/>
        <w:spacing w:before="0" w:after="0"/>
        <w:ind w:left="30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4. Příjemci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Příjemci Vašich osobních údajů mohou v souladu s ustanoveními právních předpisů v konkrétních případech kromě Vás být: poskytovatel zdravotních služeb, orgány veřejné moci a osoby oprávněné nahlížet do zdravotnické dokumentace podle § 31, § 32, § 33 a § 65 zákona č. 372/2011 Sb., o zdravotních službách a podmínkách jejich poskytování. Osobní údaje mohou být pro zajištění výše popsaných účelů zpracovávány vedle správce také zpracovateli, a to na základě smluv o zpracování osobních údajů uzavřených v souladu s obecným nařízením o ochraně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Vaše osobní údaje nepředáváme do zahraničí.</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5. Doba zpracování osobních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Osobní údaje obsažené ve zdravotnické dokumentaci jsou zpracovávány po dobu stanovenou vyhláškou č. 98/2012 Sb., o zdravotnické dokumentaci. Osobní údaje zpracovávané pro další účely uvedené v bodu III jsou zpracovávány po dobu stanovenou zákonem nebo po dobu, po kterou budete naším pacientem, a následně po dobu jednoho roku poté, co naším pacientem přestanete být.</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6. Práva subjektu údajů</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Při zpracování osobních údajů máte následující práva týkající se ochrany svých osobních údajů:</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právo požadovat od nás přístup k Vašim osobním údajům;</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právo na opravu Vašich osobních údajů, které zpracováváme;</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právo na omezení zpracování. Omezení zpracování znamená, že musíme Vaše osobní údaje, u nichž bylo zpracování omezeno, označit a po dobu trvání omezení je nesmíme dál zpracovávat s výjimkou jejich uložení. Právo na omezení zpracování máte tehdy, jestliže</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popíráte přesnost osobních údajů, a to na dobu potřebnou k tomu, abychom mohli přesnost osobních údajů ověřit;</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zpracování je protiprávní a Vy odmítáte výmaz osobních údajů a žádáte místo toho o omezení jejich použití;</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jestliže již Vaše osobní údaje nepotřebujeme pro účely zpracování, ale Vy je požadujete pro určení, výkon nebo obhajobu právních nároků;</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jestliže jste vznesl/a námitku proti zpracování uvedenou níže v bodu VII., dokud nebude ověřeno, zda naše oprávněné důvody pro zpracování převažují nad Vašimi zájmy nebo právy a svobodami;</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právo na výmaz osobních údajů. Právo na výmaz osobních údajů se vztahuje jen na osobní údaje, které zpracováváme k jiným účelům, než je poskytování zdravotních služeb. Údaje, které o Vás vedeme za účelem poskytování zdravotních služeb (např. ve zdravotnické dokumentaci), vymazat nesmíme;</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(např. ve zdravotnické dokumentaci), však smíme poskytnout jen Vám a za zákonných podmínek též jinému poskytovateli zdravotních služeb nebo orgánu veřejné moci.</w:t>
      </w:r>
    </w:p>
    <w:p>
      <w:pPr>
        <w:pStyle w:val="Tlotextu"/>
        <w:widowControl/>
        <w:numPr>
          <w:ilvl w:val="0"/>
          <w:numId w:val="3"/>
        </w:numPr>
        <w:pBdr/>
        <w:tabs>
          <w:tab w:val="left" w:pos="0" w:leader="none"/>
        </w:tabs>
        <w:spacing w:before="0" w:after="0"/>
        <w:ind w:left="300" w:right="0" w:hanging="283"/>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 xml:space="preserve">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t>
      </w:r>
      <w:hyperlink r:id="rId2">
        <w:r>
          <w:rPr>
            <w:rStyle w:val="Internetovodkaz"/>
            <w:rFonts w:ascii="Times New Roman" w:hAnsi="Times New Roman"/>
            <w:b w:val="false"/>
            <w:i w:val="false"/>
            <w:caps w:val="false"/>
            <w:smallCaps w:val="false"/>
            <w:color w:val="2B2B2B"/>
            <w:spacing w:val="0"/>
            <w:sz w:val="24"/>
            <w:szCs w:val="24"/>
            <w:highlight w:val="white"/>
          </w:rPr>
          <w:t>www.uoou.cz</w:t>
        </w:r>
      </w:hyperlink>
      <w:hyperlink r:id="rId3">
        <w:r>
          <w:rPr>
            <w:rFonts w:ascii="Times New Roman" w:hAnsi="Times New Roman"/>
            <w:b w:val="false"/>
            <w:i w:val="false"/>
            <w:caps w:val="false"/>
            <w:smallCaps w:val="false"/>
            <w:color w:val="2B2B2B"/>
            <w:spacing w:val="0"/>
            <w:sz w:val="24"/>
            <w:szCs w:val="24"/>
            <w:highlight w:val="white"/>
          </w:rPr>
          <w:t>.</w:t>
        </w:r>
      </w:hyperlink>
    </w:p>
    <w:p>
      <w:pPr>
        <w:pStyle w:val="Tlotextu"/>
        <w:widowControl/>
        <w:pBdr/>
        <w:spacing w:before="0" w:after="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r>
    </w:p>
    <w:p>
      <w:pPr>
        <w:pStyle w:val="Tlotextu"/>
        <w:widowControl/>
        <w:pBdr/>
        <w:spacing w:before="0" w:after="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7. Právo vznést námitku proti zpracování</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V případě, že Vaše osobní údaje zpracováváme pro účely oprávněných zájmů našich nebo někoho dalšího (právní základy zpracování jsou uvedeny v bodu III), máte kdykoliv právo vznést proti takovému zpracování námitku. Námitku můžete vznést na naší adrese uvedené v bodu I.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w:t>
      </w:r>
    </w:p>
    <w:p>
      <w:pPr>
        <w:pStyle w:val="Tlotextu"/>
        <w:widowControl/>
        <w:pBdr/>
        <w:spacing w:before="0" w:after="0"/>
        <w:ind w:left="0" w:right="0" w:hanging="0"/>
        <w:rPr/>
      </w:pPr>
      <w:r>
        <w:rPr>
          <w:rStyle w:val="Silnzdraznn"/>
          <w:rFonts w:ascii="Times New Roman" w:hAnsi="Times New Roman"/>
          <w:b/>
          <w:i w:val="false"/>
          <w:caps w:val="false"/>
          <w:smallCaps w:val="false"/>
          <w:color w:val="2B2B2B"/>
          <w:spacing w:val="0"/>
          <w:sz w:val="24"/>
          <w:szCs w:val="24"/>
          <w:highlight w:val="white"/>
        </w:rPr>
        <w:t>8. Povinné zpracování a povinnost poskytnout osobní údaje</w:t>
      </w:r>
    </w:p>
    <w:p>
      <w:pPr>
        <w:pStyle w:val="Tlotextu"/>
        <w:widowControl/>
        <w:pBdr/>
        <w:spacing w:before="0" w:after="360"/>
        <w:ind w:left="0" w:right="0" w:hanging="0"/>
        <w:rPr>
          <w:rFonts w:ascii="Times New Roman" w:hAnsi="Times New Roman"/>
          <w:b w:val="false"/>
          <w:i w:val="false"/>
          <w:caps w:val="false"/>
          <w:smallCaps w:val="false"/>
          <w:color w:val="2B2B2B"/>
          <w:spacing w:val="0"/>
          <w:sz w:val="24"/>
          <w:szCs w:val="24"/>
          <w:highlight w:val="white"/>
        </w:rPr>
      </w:pPr>
      <w:r>
        <w:rPr>
          <w:rFonts w:ascii="Times New Roman" w:hAnsi="Times New Roman"/>
          <w:b w:val="false"/>
          <w:i w:val="false"/>
          <w:caps w:val="false"/>
          <w:smallCaps w:val="false"/>
          <w:color w:val="2B2B2B"/>
          <w:spacing w:val="0"/>
          <w:sz w:val="24"/>
          <w:szCs w:val="24"/>
          <w:highlight w:val="white"/>
        </w:rPr>
        <w:t>Zpracování Vašich osobních údajů pro účely poskytování zdravotních služeb je zákonným požadavkem. Neposkytnutím Vašich osobních údajů může znamenat, že Vám nebudeme moci poskytnout zdravotní služby, čímž může dojít k poškození Vašeho zdraví či přímému ohrožení života (§ 41 odst.1 písm. d) zákona č. 372/2011 Sb., o zdravotních službách a podmínkách jejich poskytování). Povinnost poskytnout osobní údaje pacienta se týká i jeho zákonného zástupce nebo opatrovníka (§ 41 odst. 2 zákona č. 372/2011 Sb., o zdravotních službách a podmínkách jejich poskytování).</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00"/>
        </w:tabs>
        <w:ind w:left="30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300"/>
        </w:tabs>
        <w:ind w:left="30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300"/>
        </w:tabs>
        <w:ind w:left="300"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pStyle w:val="Nadpis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SimSun" w:cs="Arial"/>
      <w:b/>
      <w:bCs/>
      <w:sz w:val="48"/>
      <w:szCs w:val="48"/>
    </w:rPr>
  </w:style>
  <w:style w:type="character" w:styleId="Silnzdraznn">
    <w:name w:val="Silné zdůraznění"/>
    <w:qFormat/>
    <w:rPr>
      <w:b/>
      <w:bCs/>
    </w:rPr>
  </w:style>
  <w:style w:type="character" w:styleId="Odrky">
    <w:name w:val="Odrážky"/>
    <w:qFormat/>
    <w:rPr>
      <w:rFonts w:ascii="OpenSymbol" w:hAnsi="OpenSymbol" w:eastAsia="OpenSymbol" w:cs="OpenSymbol"/>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oou.cz/"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LibreOffice/5.4.0.3$Windows_x86 LibreOffice_project/7556cbc6811c9d992f4064ab9287069087d7f62c</Application>
  <Pages>3</Pages>
  <Words>921</Words>
  <Characters>5296</Characters>
  <CharactersWithSpaces>6160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2018-06-12T15:25:35Z</dcterms:created>
  <dc:creator/>
  <dc:description/>
  <dc:language>cs-CZ</dc:language>
  <cp:lastModifiedBy/>
  <dcterms:modified xsi:type="dcterms:W3CDTF">2018-06-12T15:28:24Z</dcterms:modified>
  <cp:revision>1</cp:revision>
  <dc:subject/>
  <dc:title/>
</cp:coreProperties>
</file>